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AI Use Policy</w:t>
      </w:r>
    </w:p>
    <w:p>
      <w:r>
        <w:rPr>
          <w:i/>
          <w:sz w:val="18"/>
        </w:rPr>
        <w:t>Template — replace every [bracketed] item, delete what does not apply, and have the named owner sign off. Provided free by Wideweb (wideweb.pro/ai-policy-template) as part of the AI readiness assessment. Not legal advice: have your counsel confirm the EU AI Act section if you serve EU users.</w:t>
      </w:r>
    </w:p>
    <w:p>
      <w:r>
        <w:rPr>
          <w:b/>
        </w:rPr>
        <w:t xml:space="preserve">Company: </w:t>
      </w:r>
      <w:r>
        <w:rPr>
          <w:color w:val="666666"/>
        </w:rPr>
        <w:t>[legal name]</w:t>
      </w:r>
    </w:p>
    <w:p>
      <w:r>
        <w:rPr>
          <w:b/>
        </w:rPr>
        <w:t xml:space="preserve">Policy owner: </w:t>
      </w:r>
      <w:r>
        <w:rPr>
          <w:color w:val="666666"/>
        </w:rPr>
        <w:t>[name, role — one person, not a committee]</w:t>
      </w:r>
    </w:p>
    <w:p>
      <w:r>
        <w:rPr>
          <w:b/>
        </w:rPr>
        <w:t xml:space="preserve">Effective date: </w:t>
      </w:r>
      <w:r>
        <w:rPr>
          <w:color w:val="666666"/>
        </w:rPr>
        <w:t>[date]</w:t>
      </w:r>
    </w:p>
    <w:p>
      <w:r>
        <w:rPr>
          <w:b/>
        </w:rPr>
        <w:t xml:space="preserve">Review date: </w:t>
      </w:r>
      <w:r>
        <w:rPr>
          <w:color w:val="666666"/>
        </w:rPr>
        <w:t>[every 6 months, or when a new AI tool is adopted]</w:t>
      </w:r>
    </w:p>
    <w:p>
      <w:pPr>
        <w:pStyle w:val="Heading1"/>
      </w:pPr>
      <w:r>
        <w:rPr>
          <w:color w:val="10072D"/>
        </w:rPr>
        <w:t>1. Purpose</w:t>
      </w:r>
    </w:p>
    <w:p>
      <w:r>
        <w:rPr>
          <w:i w:val="0"/>
        </w:rPr>
        <w:t>This policy sets out how [Company] uses artificial intelligence (AI) tools so that we gain their benefits without exposing confidential data, misleading customers, or breaching the law. It applies to every employee, contractor and agency acting for [Company].</w:t>
      </w:r>
    </w:p>
    <w:p>
      <w:pPr>
        <w:pStyle w:val="Heading1"/>
      </w:pPr>
      <w:r>
        <w:rPr>
          <w:color w:val="10072D"/>
        </w:rPr>
        <w:t>2. Scope: what counts as an AI tool</w:t>
      </w:r>
    </w:p>
    <w:p>
      <w:r>
        <w:rPr>
          <w:i w:val="0"/>
        </w:rPr>
        <w:t>Any software that generates text, images, code, audio or video, makes or recommends decisions, or answers questions from a language model. This includes general assistants (ChatGPT, Claude, Gemini, Copilot), AI features inside tools we already use (CRM, email, design, meeting notes), and AI agents or chatbots on our own website.</w:t>
      </w:r>
    </w:p>
    <w:p>
      <w:pPr>
        <w:pStyle w:val="Heading1"/>
      </w:pPr>
      <w:r>
        <w:rPr>
          <w:color w:val="10072D"/>
        </w:rPr>
        <w:t>3. Approved tools</w:t>
      </w:r>
    </w:p>
    <w:p>
      <w:r>
        <w:rPr>
          <w:i w:val="0"/>
        </w:rPr>
        <w:t>Only tools on this list may be used for company work. To add a tool, email the policy owner with the tool name, what you want to use it for, and what data it would see.</w:t>
      </w:r>
    </w:p>
    <w:tbl>
      <w:tblPr>
        <w:tblStyle w:val="LightGrid-Accent1"/>
        <w:tblW w:type="auto" w:w="0"/>
        <w:tblLook w:firstColumn="1" w:firstRow="1" w:lastColumn="0" w:lastRow="0" w:noHBand="0" w:noVBand="1" w:val="04A0"/>
      </w:tblPr>
      <w:tblGrid>
        <w:gridCol w:w="2436"/>
        <w:gridCol w:w="2436"/>
        <w:gridCol w:w="2436"/>
        <w:gridCol w:w="2436"/>
      </w:tblGrid>
      <w:tr>
        <w:tc>
          <w:tcPr>
            <w:tcW w:type="dxa" w:w="2436"/>
          </w:tcPr>
          <w:p>
            <w:r>
              <w:t>Tool</w:t>
            </w:r>
          </w:p>
        </w:tc>
        <w:tc>
          <w:tcPr>
            <w:tcW w:type="dxa" w:w="2436"/>
          </w:tcPr>
          <w:p>
            <w:r>
              <w:t>Approved for</w:t>
            </w:r>
          </w:p>
        </w:tc>
        <w:tc>
          <w:tcPr>
            <w:tcW w:type="dxa" w:w="2436"/>
          </w:tcPr>
          <w:p>
            <w:r>
              <w:t>Data allowed</w:t>
            </w:r>
          </w:p>
        </w:tc>
        <w:tc>
          <w:tcPr>
            <w:tcW w:type="dxa" w:w="2436"/>
          </w:tcPr>
          <w:p>
            <w:r>
              <w:t>Account type</w:t>
            </w:r>
          </w:p>
        </w:tc>
      </w:tr>
      <w:tr>
        <w:tc>
          <w:tcPr>
            <w:tcW w:type="dxa" w:w="2436"/>
          </w:tcPr>
          <w:p>
            <w:r>
              <w:t>[e.g. ChatGPT Team]</w:t>
            </w:r>
          </w:p>
        </w:tc>
        <w:tc>
          <w:tcPr>
            <w:tcW w:type="dxa" w:w="2436"/>
          </w:tcPr>
          <w:p>
            <w:r>
              <w:t>[drafting, research, code]</w:t>
            </w:r>
          </w:p>
        </w:tc>
        <w:tc>
          <w:tcPr>
            <w:tcW w:type="dxa" w:w="2436"/>
          </w:tcPr>
          <w:p>
            <w:r>
              <w:t>[public and internal — no customer data]</w:t>
            </w:r>
          </w:p>
        </w:tc>
        <w:tc>
          <w:tcPr>
            <w:tcW w:type="dxa" w:w="2436"/>
          </w:tcPr>
          <w:p>
            <w:r>
              <w:t>[company workspace, not personal]</w:t>
            </w:r>
          </w:p>
        </w:tc>
      </w:tr>
      <w:tr>
        <w:tc>
          <w:tcPr>
            <w:tcW w:type="dxa" w:w="2436"/>
          </w:tcPr>
          <w:p>
            <w:r>
              <w:t>[tool]</w:t>
            </w:r>
          </w:p>
        </w:tc>
        <w:tc>
          <w:tcPr>
            <w:tcW w:type="dxa" w:w="2436"/>
          </w:tcPr>
          <w:p>
            <w:r>
              <w:t>[use]</w:t>
            </w:r>
          </w:p>
        </w:tc>
        <w:tc>
          <w:tcPr>
            <w:tcW w:type="dxa" w:w="2436"/>
          </w:tcPr>
          <w:p>
            <w:r>
              <w:t>[data class]</w:t>
            </w:r>
          </w:p>
        </w:tc>
        <w:tc>
          <w:tcPr>
            <w:tcW w:type="dxa" w:w="2436"/>
          </w:tcPr>
          <w:p>
            <w:r>
              <w:t>[account]</w:t>
            </w:r>
          </w:p>
        </w:tc>
      </w:tr>
    </w:tbl>
    <w:p>
      <w:pPr>
        <w:pStyle w:val="Heading1"/>
      </w:pPr>
      <w:r>
        <w:rPr>
          <w:color w:val="10072D"/>
        </w:rPr>
        <w:t>4. Data rules</w:t>
      </w:r>
    </w:p>
    <w:p>
      <w:pPr>
        <w:pStyle w:val="ListBullet"/>
      </w:pPr>
      <w:r>
        <w:t>Never enter customer personal data, payment details, credentials, source code under NDA, or unreleased financials into a tool that is not on the approved list with "customer data" explicitly allowed.</w:t>
      </w:r>
    </w:p>
    <w:p>
      <w:pPr>
        <w:pStyle w:val="ListBullet"/>
      </w:pPr>
      <w:r>
        <w:t>Use company accounts, not personal ones. Personal accounts default to training on your inputs.</w:t>
      </w:r>
    </w:p>
    <w:p>
      <w:pPr>
        <w:pStyle w:val="ListBullet"/>
      </w:pPr>
      <w:r>
        <w:t>Prefer tools and settings where our data is not used to train the provider's models; the policy owner records that setting per tool.</w:t>
      </w:r>
    </w:p>
    <w:p>
      <w:pPr>
        <w:pStyle w:val="ListBullet"/>
      </w:pPr>
      <w:r>
        <w:t>Treat AI output as untrusted until a person checks it. Facts, figures, quotes and legal or medical statements are verified before they leave the company.</w:t>
      </w:r>
    </w:p>
    <w:p>
      <w:pPr>
        <w:pStyle w:val="Heading1"/>
      </w:pPr>
      <w:r>
        <w:rPr>
          <w:color w:val="10072D"/>
        </w:rPr>
        <w:t>5. Disclosure and customer-facing AI</w:t>
      </w:r>
    </w:p>
    <w:p>
      <w:pPr>
        <w:pStyle w:val="ListBullet"/>
      </w:pPr>
      <w:r>
        <w:t>Any chatbot, voice assistant or AI agent that talks to customers tells them it is AI at first contact, and always offers a route to a human.</w:t>
      </w:r>
    </w:p>
    <w:p>
      <w:pPr>
        <w:pStyle w:val="ListBullet"/>
      </w:pPr>
      <w:r>
        <w:t>AI-generated images, audio and video that we publish are marked as AI-generated (machine-readable where the tool supports it, visibly where a reasonable person could mistake it for real).</w:t>
      </w:r>
    </w:p>
    <w:p>
      <w:pPr>
        <w:pStyle w:val="ListBullet"/>
      </w:pPr>
      <w:r>
        <w:t>We do not present AI output as the personal work or opinion of a named employee without that employee having reviewed and adopted it.</w:t>
      </w:r>
    </w:p>
    <w:p>
      <w:pPr>
        <w:pStyle w:val="Heading1"/>
      </w:pPr>
      <w:r>
        <w:rPr>
          <w:color w:val="10072D"/>
        </w:rPr>
        <w:t>6. Human review and accountability</w:t>
      </w:r>
    </w:p>
    <w:p>
      <w:pPr>
        <w:pStyle w:val="ListBullet"/>
      </w:pPr>
      <w:r>
        <w:t>A named person is accountable for every decision that AI helped make. "The AI said so" is not a justification.</w:t>
      </w:r>
    </w:p>
    <w:p>
      <w:pPr>
        <w:pStyle w:val="ListBullet"/>
      </w:pPr>
      <w:r>
        <w:t>Decisions affecting people — hiring, pay, credit, access to services — are never made by AI alone and are reviewed by a human before taking effect.</w:t>
      </w:r>
    </w:p>
    <w:p>
      <w:pPr>
        <w:pStyle w:val="ListBullet"/>
      </w:pPr>
      <w:r>
        <w:t>High-stakes outputs (contracts, public statements, code deployed to production) get a second human reviewer.</w:t>
      </w:r>
    </w:p>
    <w:p>
      <w:pPr>
        <w:pStyle w:val="Heading1"/>
      </w:pPr>
      <w:r>
        <w:rPr>
          <w:color w:val="10072D"/>
        </w:rPr>
        <w:t>7. AI inventory</w:t>
      </w:r>
    </w:p>
    <w:p>
      <w:r>
        <w:rPr>
          <w:i w:val="0"/>
        </w:rPr>
        <w:t>The policy owner keeps a living list of every AI tool in use, who uses it, for what, what data it sees, and the provider's data-handling terms. Teams report new tools within one week of starting to use them, including free trials.</w:t>
      </w:r>
    </w:p>
    <w:p>
      <w:pPr>
        <w:pStyle w:val="Heading1"/>
      </w:pPr>
      <w:r>
        <w:rPr>
          <w:color w:val="10072D"/>
        </w:rPr>
        <w:t>8. Risk assessment for new use cases</w:t>
      </w:r>
    </w:p>
    <w:p>
      <w:r>
        <w:rPr>
          <w:i w:val="0"/>
        </w:rPr>
        <w:t>Before AI is used for a new purpose, the requester and the policy owner answer, in writing: What could go wrong? Who could be harmed? What data is involved? Is it regulated (EU AI Act, GDPR, sector rules)? How will we know if it fails? What is the rollback? Low-risk uses get a yes in a day; higher-risk ones get a short review.</w:t>
      </w:r>
    </w:p>
    <w:p>
      <w:pPr>
        <w:pStyle w:val="Heading1"/>
      </w:pPr>
      <w:r>
        <w:rPr>
          <w:color w:val="10072D"/>
        </w:rPr>
        <w:t>9. Training and AI literacy</w:t>
      </w:r>
    </w:p>
    <w:p>
      <w:r>
        <w:rPr>
          <w:i w:val="0"/>
        </w:rPr>
        <w:t>Everyone who uses AI tools for work completes a short induction on this policy, on how the tools fail (hallucination, bias, prompt injection) and on the data rules. If we serve EU users, this also meets the AI-literacy duty under Article 4 of the EU AI Act, in force since 2 February 2025. The policy owner keeps attendance records.</w:t>
      </w:r>
    </w:p>
    <w:p>
      <w:pPr>
        <w:pStyle w:val="Heading1"/>
      </w:pPr>
      <w:r>
        <w:rPr>
          <w:color w:val="10072D"/>
        </w:rPr>
        <w:t>10. Incidents</w:t>
      </w:r>
    </w:p>
    <w:p>
      <w:r>
        <w:rPr>
          <w:i w:val="0"/>
        </w:rPr>
        <w:t>Report any suspected data leak, harmful or misleading AI output that reached a customer, or use of an unapproved tool with sensitive data to [incident contact] within 24 hours. Reporting honestly is never penalised; hiding an incident is.</w:t>
      </w:r>
    </w:p>
    <w:p>
      <w:pPr>
        <w:pStyle w:val="Heading1"/>
      </w:pPr>
      <w:r>
        <w:rPr>
          <w:color w:val="10072D"/>
        </w:rPr>
        <w:t>11. EU AI Act notes (if you serve EU users)</w:t>
      </w:r>
    </w:p>
    <w:p>
      <w:pPr>
        <w:pStyle w:val="ListBullet"/>
      </w:pPr>
      <w:r>
        <w:t>Transparency duties (Article 50) are enforceable since 2 August 2026: chatbot disclosure, machine-readable marking of AI content, labelling of deepfakes and of AI text on matters of public interest.</w:t>
      </w:r>
    </w:p>
    <w:p>
      <w:pPr>
        <w:pStyle w:val="ListBullet"/>
      </w:pPr>
      <w:r>
        <w:t>Prohibited practices (Article 5) and the AI-literacy duty (Article 4) apply since 2 February 2025.</w:t>
      </w:r>
    </w:p>
    <w:p>
      <w:pPr>
        <w:pStyle w:val="ListBullet"/>
      </w:pPr>
      <w:r>
        <w:t>High-risk obligations (Annex III: hiring, credit, education, critical infrastructure and others) were deferred to December 2027; if any of our use cases falls there, the policy owner tracks the deadline.</w:t>
      </w:r>
    </w:p>
    <w:p>
      <w:pPr>
        <w:pStyle w:val="ListBullet"/>
      </w:pPr>
      <w:r>
        <w:t>The Act's SME measures lower the maximum fine (Article 99(6): whichever of EUR 15 million or 3% of turnover is lower) but do not exempt anyone from Article 50. Confirm all of the above with counsel.</w:t>
      </w:r>
    </w:p>
    <w:p>
      <w:pPr>
        <w:pStyle w:val="Heading1"/>
      </w:pPr>
      <w:r>
        <w:rPr>
          <w:color w:val="10072D"/>
        </w:rPr>
        <w:t>12. Review</w:t>
      </w:r>
    </w:p>
    <w:p>
      <w:r>
        <w:rPr>
          <w:i w:val="0"/>
        </w:rPr>
        <w:t>This policy is reviewed every six months and whenever a new AI tool or use case is adopted. Changes are approved by [owner] and communicated to all staff.</w:t>
      </w:r>
    </w:p>
    <w:p/>
    <w:p>
      <w:r>
        <w:rPr>
          <w:b/>
        </w:rPr>
        <w:t>Approved by: ____________________   Date: ____________</w:t>
      </w:r>
    </w:p>
    <w:p>
      <w:r>
        <w:rPr>
          <w:i/>
          <w:sz w:val="18"/>
        </w:rPr>
        <w:t>Template v1.0 — October 2026 — wideweb.pro/ai-policy-template · wideweb.pro/ai-readiness-audit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